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07A20" w14:textId="538B7D5D" w:rsidR="00864330" w:rsidRPr="00E23C99" w:rsidRDefault="0086433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23C9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23C99">
        <w:rPr>
          <w:rFonts w:ascii="Tahoma" w:hAnsi="Tahoma" w:cs="Tahoma"/>
          <w:b/>
          <w:sz w:val="24"/>
          <w:szCs w:val="24"/>
          <w:lang w:val="cs-CZ"/>
        </w:rPr>
        <w:br/>
      </w:r>
      <w:r w:rsidRPr="00E23C99">
        <w:rPr>
          <w:rFonts w:ascii="Tahoma" w:hAnsi="Tahoma" w:cs="Tahoma"/>
          <w:b/>
          <w:noProof/>
          <w:sz w:val="24"/>
          <w:szCs w:val="24"/>
          <w:lang w:val="cs-CZ"/>
        </w:rPr>
        <w:t>kontrolor/ka sociálního zabezpečení</w:t>
      </w:r>
      <w:r w:rsidRPr="00E23C99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23C99">
        <w:rPr>
          <w:rFonts w:ascii="Tahoma" w:hAnsi="Tahoma" w:cs="Tahoma"/>
          <w:b/>
          <w:noProof/>
          <w:sz w:val="24"/>
          <w:szCs w:val="24"/>
          <w:lang w:val="cs-CZ"/>
        </w:rPr>
        <w:t>Oddělení kontroly II</w:t>
      </w:r>
      <w:r w:rsidRPr="00E23C9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E23C99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B204D7" w:rsidRPr="00E23C99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E23C99">
        <w:rPr>
          <w:rFonts w:ascii="Tahoma" w:hAnsi="Tahoma" w:cs="Tahoma"/>
          <w:b/>
          <w:noProof/>
          <w:sz w:val="24"/>
          <w:szCs w:val="24"/>
          <w:lang w:val="cs-CZ"/>
        </w:rPr>
        <w:t xml:space="preserve"> OSSZ Kladno</w:t>
      </w:r>
      <w:r w:rsidR="00B204D7" w:rsidRPr="00E23C99">
        <w:rPr>
          <w:rFonts w:ascii="Tahoma" w:hAnsi="Tahoma" w:cs="Tahoma"/>
          <w:b/>
          <w:sz w:val="24"/>
          <w:szCs w:val="24"/>
          <w:lang w:val="cs-CZ"/>
        </w:rPr>
        <w:t xml:space="preserve"> Sekce</w:t>
      </w:r>
      <w:r w:rsidRPr="00E23C9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E23C99">
        <w:rPr>
          <w:rFonts w:ascii="Tahoma" w:hAnsi="Tahoma" w:cs="Tahoma"/>
          <w:b/>
          <w:noProof/>
          <w:sz w:val="24"/>
          <w:szCs w:val="24"/>
          <w:lang w:val="cs-CZ"/>
        </w:rPr>
        <w:t>KSSZ pro Středočeský kraj</w:t>
      </w:r>
      <w:r w:rsidRPr="00E23C9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B204D7" w:rsidRPr="00E23C99">
        <w:rPr>
          <w:rFonts w:ascii="Tahoma" w:hAnsi="Tahoma" w:cs="Tahoma"/>
          <w:b/>
          <w:sz w:val="24"/>
          <w:szCs w:val="24"/>
          <w:lang w:val="cs-CZ"/>
        </w:rPr>
        <w:t>ÚSSZ pro hl. m. Prahu a Středočeská kraj</w:t>
      </w:r>
    </w:p>
    <w:p w14:paraId="0DF9E9AE" w14:textId="77777777" w:rsidR="00864330" w:rsidRPr="00E23C99" w:rsidRDefault="0086433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78679B3" w14:textId="77777777" w:rsidR="00864330" w:rsidRPr="00E23C99" w:rsidRDefault="008643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23C99">
        <w:rPr>
          <w:rFonts w:cs="Tahoma"/>
          <w:szCs w:val="20"/>
        </w:rPr>
        <w:tab/>
      </w:r>
      <w:r w:rsidRPr="00E23C99">
        <w:rPr>
          <w:rFonts w:cs="Tahoma"/>
          <w:szCs w:val="20"/>
        </w:rPr>
        <w:tab/>
      </w:r>
      <w:r w:rsidRPr="00E23C99">
        <w:rPr>
          <w:rFonts w:cs="Tahoma"/>
          <w:szCs w:val="20"/>
        </w:rPr>
        <w:tab/>
      </w:r>
      <w:r w:rsidRPr="00E23C99">
        <w:rPr>
          <w:rFonts w:cs="Tahoma"/>
          <w:szCs w:val="20"/>
        </w:rPr>
        <w:tab/>
      </w:r>
      <w:r w:rsidRPr="00E23C99">
        <w:rPr>
          <w:rFonts w:cs="Tahoma"/>
          <w:szCs w:val="20"/>
        </w:rPr>
        <w:tab/>
      </w:r>
      <w:r w:rsidRPr="00E23C99">
        <w:rPr>
          <w:rFonts w:ascii="Tahoma" w:hAnsi="Tahoma" w:cs="Tahoma"/>
          <w:sz w:val="20"/>
          <w:szCs w:val="20"/>
        </w:rPr>
        <w:t xml:space="preserve">Č. j. </w:t>
      </w:r>
      <w:r w:rsidRPr="00E23C99">
        <w:rPr>
          <w:rFonts w:ascii="Tahoma" w:hAnsi="Tahoma" w:cs="Tahoma"/>
          <w:noProof/>
          <w:sz w:val="20"/>
          <w:szCs w:val="20"/>
        </w:rPr>
        <w:t>4203/00008995/25/VR</w:t>
      </w:r>
    </w:p>
    <w:p w14:paraId="0CF7986E" w14:textId="77777777" w:rsidR="00864330" w:rsidRPr="00E23C99" w:rsidRDefault="0086433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23C99">
        <w:rPr>
          <w:rFonts w:ascii="Tahoma" w:hAnsi="Tahoma" w:cs="Tahoma"/>
          <w:sz w:val="20"/>
          <w:szCs w:val="20"/>
        </w:rPr>
        <w:tab/>
      </w:r>
      <w:r w:rsidRPr="00E23C99">
        <w:rPr>
          <w:rFonts w:ascii="Tahoma" w:hAnsi="Tahoma" w:cs="Tahoma"/>
          <w:sz w:val="20"/>
          <w:szCs w:val="20"/>
        </w:rPr>
        <w:tab/>
      </w:r>
      <w:r w:rsidRPr="00E23C99">
        <w:rPr>
          <w:rFonts w:ascii="Tahoma" w:hAnsi="Tahoma" w:cs="Tahoma"/>
          <w:sz w:val="20"/>
          <w:szCs w:val="20"/>
        </w:rPr>
        <w:tab/>
      </w:r>
      <w:r w:rsidRPr="00E23C99">
        <w:rPr>
          <w:rFonts w:ascii="Tahoma" w:hAnsi="Tahoma" w:cs="Tahoma"/>
          <w:sz w:val="20"/>
          <w:szCs w:val="20"/>
        </w:rPr>
        <w:tab/>
      </w:r>
      <w:r w:rsidRPr="00E23C99">
        <w:rPr>
          <w:rFonts w:ascii="Tahoma" w:hAnsi="Tahoma" w:cs="Tahoma"/>
          <w:sz w:val="20"/>
          <w:szCs w:val="20"/>
        </w:rPr>
        <w:tab/>
        <w:t xml:space="preserve">Sp. zn.  </w:t>
      </w:r>
      <w:r w:rsidRPr="00E23C99">
        <w:rPr>
          <w:rFonts w:ascii="Tahoma" w:hAnsi="Tahoma" w:cs="Tahoma"/>
          <w:noProof/>
          <w:sz w:val="20"/>
          <w:szCs w:val="20"/>
        </w:rPr>
        <w:t>4203/12015137/20250909</w:t>
      </w:r>
    </w:p>
    <w:p w14:paraId="119F639E" w14:textId="74F6D08D" w:rsidR="00864330" w:rsidRDefault="008643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B204D7" w:rsidRPr="00E23C9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B204D7" w:rsidRPr="00E23C9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ABD6BF5" w14:textId="77777777" w:rsidR="00864330" w:rsidRPr="00083F48" w:rsidRDefault="0086433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FE35B63" w14:textId="196BB6BD" w:rsidR="00864330" w:rsidRPr="00083F48" w:rsidRDefault="0086433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kontrolor/ka sociálního zabezpečení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 xml:space="preserve">Oddělení kontroly </w:t>
      </w:r>
      <w:r w:rsidR="00E23C99" w:rsidRPr="00E23C99">
        <w:rPr>
          <w:rFonts w:ascii="Tahoma" w:hAnsi="Tahoma" w:cs="Tahoma"/>
          <w:noProof/>
          <w:sz w:val="20"/>
          <w:szCs w:val="20"/>
          <w:lang w:val="cs-CZ"/>
        </w:rPr>
        <w:t xml:space="preserve">II Odboru OSSZ Kladno Sekce KSSZ pro Středočeský kraj ÚSSZ pro hl. m. Prahu a Středočeská kraj 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v oboru služby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23C99">
        <w:rPr>
          <w:rFonts w:ascii="Tahoma" w:hAnsi="Tahoma" w:cs="Tahoma"/>
          <w:sz w:val="20"/>
          <w:szCs w:val="20"/>
          <w:lang w:val="cs-CZ"/>
        </w:rPr>
        <w:t>.</w:t>
      </w:r>
    </w:p>
    <w:p w14:paraId="1035C673" w14:textId="77777777" w:rsidR="00864330" w:rsidRPr="00E23C99" w:rsidRDefault="0086433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E23C9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služebních míst: </w:t>
      </w:r>
      <w:r w:rsidRPr="00E23C9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E23C9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A0AE950" w14:textId="3BCD9A88" w:rsidR="00864330" w:rsidRPr="00E23C99" w:rsidRDefault="0086433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23C99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0FA5A378" w14:textId="77777777" w:rsidR="00864330" w:rsidRPr="00E23C99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E23C99">
        <w:rPr>
          <w:rFonts w:ascii="Tahoma" w:hAnsi="Tahoma" w:cs="Tahoma"/>
          <w:sz w:val="20"/>
          <w:szCs w:val="20"/>
          <w:lang w:val="cs-CZ"/>
        </w:rPr>
        <w:t>.</w:t>
      </w:r>
    </w:p>
    <w:p w14:paraId="607CDA61" w14:textId="09280795" w:rsidR="00864330" w:rsidRPr="00083F48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="00DF30C8">
        <w:rPr>
          <w:rFonts w:ascii="Tahoma" w:hAnsi="Tahoma" w:cs="Tahoma"/>
          <w:b/>
          <w:noProof/>
          <w:sz w:val="20"/>
          <w:szCs w:val="20"/>
          <w:lang w:val="cs-CZ"/>
        </w:rPr>
        <w:t>Rakovník</w:t>
      </w:r>
      <w:r w:rsidRPr="00E23C99">
        <w:rPr>
          <w:rFonts w:ascii="Tahoma" w:hAnsi="Tahoma" w:cs="Tahoma"/>
          <w:sz w:val="20"/>
          <w:szCs w:val="20"/>
          <w:lang w:val="cs-CZ"/>
        </w:rPr>
        <w:t>.</w:t>
      </w:r>
    </w:p>
    <w:p w14:paraId="30D2A663" w14:textId="77777777" w:rsidR="00864330" w:rsidRPr="00E23C99" w:rsidRDefault="0086433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C45F411" w14:textId="1CCEDC08" w:rsidR="00864330" w:rsidRDefault="00864330" w:rsidP="00C87830">
      <w:pPr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říjen 2025</w:t>
      </w:r>
      <w:r w:rsidRPr="00E23C99">
        <w:rPr>
          <w:rFonts w:ascii="Tahoma" w:hAnsi="Tahoma" w:cs="Tahoma"/>
          <w:sz w:val="20"/>
          <w:szCs w:val="20"/>
          <w:lang w:val="cs-CZ"/>
        </w:rPr>
        <w:t>.</w:t>
      </w:r>
    </w:p>
    <w:p w14:paraId="42B0EA52" w14:textId="3081B18F" w:rsidR="00864330" w:rsidRPr="00083F48" w:rsidRDefault="0086433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v rozsahu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E23C99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C46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181A23D5" w14:textId="7A857F5B" w:rsidR="00864330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 místo je zařazeno podle Přílohy č. 1 k zákonu d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o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E23C99">
        <w:rPr>
          <w:rFonts w:ascii="Tahoma" w:hAnsi="Tahoma" w:cs="Tahoma"/>
          <w:b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platové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DDD6644" w14:textId="6CD251F3" w:rsidR="00864330" w:rsidRPr="00E23C99" w:rsidRDefault="008643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E23C99">
        <w:rPr>
          <w:rFonts w:ascii="Tahoma" w:hAnsi="Tahoma" w:cs="Tahoma"/>
          <w:sz w:val="20"/>
          <w:szCs w:val="20"/>
        </w:rPr>
        <w:t xml:space="preserve">rozmezí od </w:t>
      </w:r>
      <w:r w:rsidRPr="00E23C99">
        <w:rPr>
          <w:rFonts w:ascii="Tahoma" w:hAnsi="Tahoma" w:cs="Tahoma"/>
          <w:noProof/>
          <w:sz w:val="20"/>
          <w:szCs w:val="20"/>
        </w:rPr>
        <w:t>23</w:t>
      </w:r>
      <w:r w:rsidR="00E23C99" w:rsidRPr="00E23C99">
        <w:rPr>
          <w:rFonts w:ascii="Tahoma" w:hAnsi="Tahoma" w:cs="Tahoma"/>
          <w:noProof/>
          <w:sz w:val="20"/>
          <w:szCs w:val="20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</w:rPr>
        <w:t>110</w:t>
      </w:r>
      <w:r w:rsidRPr="00E23C99">
        <w:rPr>
          <w:rFonts w:ascii="Tahoma" w:hAnsi="Tahoma" w:cs="Tahoma"/>
          <w:sz w:val="20"/>
          <w:szCs w:val="20"/>
        </w:rPr>
        <w:t xml:space="preserve"> Kč do </w:t>
      </w:r>
      <w:r w:rsidRPr="00E23C99">
        <w:rPr>
          <w:rFonts w:ascii="Tahoma" w:hAnsi="Tahoma" w:cs="Tahoma"/>
          <w:noProof/>
          <w:sz w:val="20"/>
          <w:szCs w:val="20"/>
        </w:rPr>
        <w:t>33</w:t>
      </w:r>
      <w:r w:rsidR="00E23C99" w:rsidRPr="00E23C99">
        <w:rPr>
          <w:rFonts w:ascii="Tahoma" w:hAnsi="Tahoma" w:cs="Tahoma"/>
          <w:noProof/>
          <w:sz w:val="20"/>
          <w:szCs w:val="20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</w:rPr>
        <w:t>220</w:t>
      </w:r>
      <w:r w:rsidRPr="00E23C99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23C99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23C99">
        <w:rPr>
          <w:rFonts w:ascii="Tahoma" w:hAnsi="Tahoma" w:cs="Tahoma"/>
          <w:sz w:val="20"/>
          <w:szCs w:val="20"/>
        </w:rPr>
        <w:t>),</w:t>
      </w:r>
    </w:p>
    <w:p w14:paraId="71A907E8" w14:textId="30E04CC7" w:rsidR="00864330" w:rsidRPr="00E23C99" w:rsidRDefault="008643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3C99">
        <w:rPr>
          <w:rFonts w:ascii="Tahoma" w:hAnsi="Tahoma" w:cs="Tahoma"/>
          <w:sz w:val="20"/>
          <w:szCs w:val="20"/>
        </w:rPr>
        <w:t xml:space="preserve">osobní příplatek v rozmezí od </w:t>
      </w:r>
      <w:r w:rsidRPr="00E23C99">
        <w:rPr>
          <w:rFonts w:ascii="Tahoma" w:hAnsi="Tahoma" w:cs="Tahoma"/>
          <w:noProof/>
          <w:sz w:val="20"/>
          <w:szCs w:val="20"/>
        </w:rPr>
        <w:t>1</w:t>
      </w:r>
      <w:r w:rsidR="00E23C99" w:rsidRPr="00E23C99">
        <w:rPr>
          <w:rFonts w:ascii="Tahoma" w:hAnsi="Tahoma" w:cs="Tahoma"/>
          <w:noProof/>
          <w:sz w:val="20"/>
          <w:szCs w:val="20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</w:rPr>
        <w:t>661</w:t>
      </w:r>
      <w:r w:rsidRPr="00E23C99">
        <w:rPr>
          <w:rFonts w:ascii="Tahoma" w:hAnsi="Tahoma" w:cs="Tahoma"/>
          <w:sz w:val="20"/>
          <w:szCs w:val="20"/>
        </w:rPr>
        <w:t xml:space="preserve"> Kč do </w:t>
      </w:r>
      <w:r w:rsidRPr="00E23C99">
        <w:rPr>
          <w:rFonts w:ascii="Tahoma" w:hAnsi="Tahoma" w:cs="Tahoma"/>
          <w:noProof/>
          <w:sz w:val="20"/>
          <w:szCs w:val="20"/>
        </w:rPr>
        <w:t>4</w:t>
      </w:r>
      <w:r w:rsidR="00E23C99" w:rsidRPr="00E23C99">
        <w:rPr>
          <w:rFonts w:ascii="Tahoma" w:hAnsi="Tahoma" w:cs="Tahoma"/>
          <w:noProof/>
          <w:sz w:val="20"/>
          <w:szCs w:val="20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</w:rPr>
        <w:t>983</w:t>
      </w:r>
      <w:r w:rsidRPr="00E23C99">
        <w:rPr>
          <w:rFonts w:ascii="Tahoma" w:hAnsi="Tahoma" w:cs="Tahoma"/>
          <w:sz w:val="20"/>
          <w:szCs w:val="20"/>
        </w:rPr>
        <w:t xml:space="preserve"> Kč (tato</w:t>
      </w:r>
      <w:r>
        <w:rPr>
          <w:rFonts w:ascii="Tahoma" w:hAnsi="Tahoma" w:cs="Tahoma"/>
          <w:sz w:val="20"/>
          <w:szCs w:val="20"/>
        </w:rPr>
        <w:t xml:space="preserve"> výše </w:t>
      </w:r>
      <w:r w:rsidRPr="00C80715">
        <w:rPr>
          <w:rFonts w:ascii="Tahoma" w:hAnsi="Tahoma" w:cs="Tahoma"/>
          <w:sz w:val="20"/>
          <w:szCs w:val="20"/>
        </w:rPr>
        <w:t>odpovídá průměrné výši osobního příplatku při dosahování dobrých výsledků ve služebním hodnocení ve služe</w:t>
      </w:r>
      <w:r>
        <w:rPr>
          <w:rFonts w:ascii="Tahoma" w:hAnsi="Tahoma" w:cs="Tahoma"/>
          <w:sz w:val="20"/>
          <w:szCs w:val="20"/>
        </w:rPr>
        <w:t xml:space="preserve">bních úřadech v České republice v dané platové třídě, přičemž osobní příplatek nebývá zpravidla přiznán hned od </w:t>
      </w:r>
      <w:r w:rsidRPr="00E23C99">
        <w:rPr>
          <w:rFonts w:ascii="Tahoma" w:hAnsi="Tahoma" w:cs="Tahoma"/>
          <w:sz w:val="20"/>
          <w:szCs w:val="20"/>
        </w:rPr>
        <w:t>nástupu)</w:t>
      </w:r>
      <w:r w:rsidRPr="00E23C99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E23C99">
        <w:rPr>
          <w:rFonts w:ascii="Tahoma" w:hAnsi="Tahoma" w:cs="Tahoma"/>
          <w:sz w:val="20"/>
          <w:szCs w:val="20"/>
        </w:rPr>
        <w:t>,</w:t>
      </w:r>
    </w:p>
    <w:p w14:paraId="7CA13AE0" w14:textId="77777777" w:rsidR="00864330" w:rsidRPr="00E23C99" w:rsidRDefault="0086433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3C99">
        <w:rPr>
          <w:rFonts w:ascii="Tahoma" w:hAnsi="Tahoma" w:cs="Tahoma"/>
          <w:sz w:val="20"/>
          <w:szCs w:val="20"/>
        </w:rPr>
        <w:t xml:space="preserve">zvláštní příplatek </w:t>
      </w:r>
      <w:r w:rsidRPr="00E23C99">
        <w:rPr>
          <w:rFonts w:ascii="Tahoma" w:hAnsi="Tahoma" w:cs="Tahoma"/>
          <w:noProof/>
          <w:sz w:val="20"/>
          <w:szCs w:val="20"/>
        </w:rPr>
        <w:t>ve výši 700 Kč</w:t>
      </w:r>
      <w:r w:rsidRPr="00E23C99">
        <w:rPr>
          <w:rFonts w:ascii="Tahoma" w:hAnsi="Tahoma" w:cs="Tahoma"/>
          <w:sz w:val="20"/>
          <w:szCs w:val="20"/>
        </w:rPr>
        <w:t>.</w:t>
      </w:r>
    </w:p>
    <w:p w14:paraId="505C9D48" w14:textId="77777777" w:rsidR="00864330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C0AC161" w14:textId="77777777" w:rsidR="00864330" w:rsidRPr="00E23C99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Zajišťování ucelených odborných služebních agend, pokud není pro jednotlivé obory služby stanoveno jinak.</w:t>
      </w:r>
    </w:p>
    <w:p w14:paraId="13A96123" w14:textId="3E7E4CEF" w:rsidR="00864330" w:rsidRPr="00E23C99" w:rsidRDefault="0086433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23C9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23C9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23C9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23C9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23C99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23C9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 w:rsidR="005538AF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9.</w:t>
      </w:r>
      <w:r w:rsidR="005538AF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23C99">
        <w:rPr>
          <w:rFonts w:ascii="Tahoma" w:hAnsi="Tahoma" w:cs="Tahoma"/>
          <w:b/>
          <w:sz w:val="20"/>
          <w:szCs w:val="20"/>
          <w:lang w:val="cs-CZ"/>
        </w:rPr>
        <w:t>,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4002659" w14:textId="77777777" w:rsidR="00864330" w:rsidRPr="00E23C99" w:rsidRDefault="008643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3C9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23C9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E23C99">
        <w:rPr>
          <w:rFonts w:ascii="Tahoma" w:hAnsi="Tahoma" w:cs="Tahoma"/>
          <w:sz w:val="20"/>
          <w:szCs w:val="20"/>
        </w:rPr>
        <w:t>,</w:t>
      </w:r>
    </w:p>
    <w:p w14:paraId="74CC0BBB" w14:textId="77777777" w:rsidR="00864330" w:rsidRPr="00E23C99" w:rsidRDefault="0086433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3C9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23C99">
        <w:rPr>
          <w:rFonts w:ascii="Tahoma" w:hAnsi="Tahoma" w:cs="Tahoma"/>
          <w:noProof/>
          <w:sz w:val="20"/>
          <w:szCs w:val="20"/>
        </w:rPr>
        <w:t>QEBD4JZ</w:t>
      </w:r>
      <w:r w:rsidRPr="00E23C99">
        <w:rPr>
          <w:rFonts w:ascii="Tahoma" w:hAnsi="Tahoma" w:cs="Tahoma"/>
          <w:sz w:val="20"/>
          <w:szCs w:val="20"/>
        </w:rPr>
        <w:t>),</w:t>
      </w:r>
    </w:p>
    <w:p w14:paraId="52EAF83F" w14:textId="77777777" w:rsidR="00864330" w:rsidRPr="00E23C99" w:rsidRDefault="008643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3C9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23C9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E23C99">
        <w:rPr>
          <w:rFonts w:ascii="Tahoma" w:hAnsi="Tahoma" w:cs="Tahoma"/>
          <w:sz w:val="20"/>
          <w:szCs w:val="20"/>
        </w:rPr>
        <w:t xml:space="preserve">, </w:t>
      </w:r>
      <w:r w:rsidRPr="00E23C99">
        <w:rPr>
          <w:rFonts w:ascii="Tahoma" w:hAnsi="Tahoma" w:cs="Tahoma"/>
          <w:noProof/>
          <w:sz w:val="20"/>
          <w:szCs w:val="20"/>
        </w:rPr>
        <w:t>Sokolovská, 190 00 Praha 9</w:t>
      </w:r>
      <w:r w:rsidRPr="00E23C99">
        <w:rPr>
          <w:rFonts w:ascii="Tahoma" w:hAnsi="Tahoma" w:cs="Tahoma"/>
          <w:sz w:val="20"/>
          <w:szCs w:val="20"/>
        </w:rPr>
        <w:t xml:space="preserve"> nebo</w:t>
      </w:r>
    </w:p>
    <w:p w14:paraId="1B4277B5" w14:textId="77777777" w:rsidR="00864330" w:rsidRPr="00EA14B8" w:rsidRDefault="0086433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FF72707" w14:textId="77777777" w:rsidR="00864330" w:rsidRPr="00EA14B8" w:rsidRDefault="0086433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27A1344D" w14:textId="70923CA7" w:rsidR="00864330" w:rsidRPr="0003051C" w:rsidRDefault="0086433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Výběrové řízení na služební místo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kontrolor/ka sociálního zabezpečení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 xml:space="preserve">Oddělení kontroly </w:t>
      </w:r>
      <w:r w:rsidR="00E23C99" w:rsidRPr="00E23C99">
        <w:rPr>
          <w:rFonts w:ascii="Tahoma" w:hAnsi="Tahoma" w:cs="Tahoma"/>
          <w:noProof/>
          <w:sz w:val="20"/>
          <w:szCs w:val="20"/>
          <w:lang w:val="cs-CZ"/>
        </w:rPr>
        <w:t>II Odboru OSSZ Kladno Sekce KSSZ pro Středočeský kraj ÚSSZ pro hl. m. Prahu a Středočeská kraj</w:t>
      </w:r>
      <w:r w:rsidRPr="00E23C99">
        <w:rPr>
          <w:rFonts w:ascii="Tahoma" w:hAnsi="Tahoma" w:cs="Tahoma"/>
          <w:sz w:val="20"/>
          <w:szCs w:val="20"/>
          <w:lang w:val="cs-CZ"/>
        </w:rPr>
        <w:t>, ID 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12015137</w:t>
      </w:r>
      <w:r w:rsidRPr="00E23C99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E603201" w14:textId="77777777" w:rsidR="00864330" w:rsidRPr="00083F48" w:rsidRDefault="00864330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B6B4DDD" w14:textId="77777777" w:rsidR="00864330" w:rsidRPr="00083F48" w:rsidRDefault="0086433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E972114" w14:textId="77777777" w:rsidR="00864330" w:rsidRPr="00083F48" w:rsidRDefault="0086433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66DCD79A" w14:textId="77777777" w:rsidR="00864330" w:rsidRPr="00083F48" w:rsidRDefault="008643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14818E5" w14:textId="77777777" w:rsidR="00864330" w:rsidRPr="00083F48" w:rsidRDefault="0086433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5EFDCE4" w14:textId="77777777" w:rsidR="00864330" w:rsidRPr="00083F48" w:rsidRDefault="008643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DF9C62E" w14:textId="77777777" w:rsidR="00864330" w:rsidRPr="00083F48" w:rsidRDefault="0086433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5234CB1F" w14:textId="77777777" w:rsidR="00864330" w:rsidRPr="00083F48" w:rsidRDefault="008643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E613A21" w14:textId="77777777" w:rsidR="00864330" w:rsidRPr="00083F48" w:rsidRDefault="008643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02FFE3FA" w14:textId="77777777" w:rsidR="00864330" w:rsidRPr="00083F48" w:rsidRDefault="008643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2DD99516" w14:textId="77777777" w:rsidR="00864330" w:rsidRPr="00E23C99" w:rsidRDefault="0086433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Pr="00E23C9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0F39275E" w14:textId="77777777" w:rsidR="00864330" w:rsidRPr="00E23C99" w:rsidRDefault="0086433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E23C9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23C9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23C9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146E6D09" w14:textId="7D37119B" w:rsidR="00864330" w:rsidRPr="00E23C99" w:rsidRDefault="00864330" w:rsidP="001E758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23C9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D27EFEC" w14:textId="316B13E1" w:rsidR="00E23C99" w:rsidRPr="00E23C99" w:rsidRDefault="00E23C99" w:rsidP="001E758B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6B59ACDC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A4975C5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E23C99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F37FE87" w14:textId="77777777" w:rsidR="00864330" w:rsidRPr="00E23C99" w:rsidRDefault="0086433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E23C9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E23C99">
        <w:rPr>
          <w:rFonts w:ascii="Tahoma" w:hAnsi="Tahoma" w:cs="Tahoma"/>
          <w:sz w:val="20"/>
          <w:szCs w:val="20"/>
          <w:lang w:val="cs-CZ"/>
        </w:rPr>
        <w:t>,</w:t>
      </w:r>
    </w:p>
    <w:p w14:paraId="422C5377" w14:textId="77777777" w:rsidR="00864330" w:rsidRPr="00E23C99" w:rsidRDefault="0086433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398ACE94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23CF25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CE8DF2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6C2825AC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5B3A307F" w14:textId="6B115E6B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E23C9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62635007" w14:textId="79FDD322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Tel.: </w:t>
      </w:r>
      <w:r w:rsidR="00E23C99" w:rsidRPr="00E23C99">
        <w:rPr>
          <w:rFonts w:ascii="Tahoma" w:hAnsi="Tahoma" w:cs="Tahoma"/>
          <w:sz w:val="20"/>
          <w:szCs w:val="20"/>
          <w:lang w:val="cs-CZ"/>
        </w:rPr>
        <w:t>284 005 537</w:t>
      </w:r>
    </w:p>
    <w:p w14:paraId="1701F8DC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23C99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41B4BB02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770036" w14:textId="77777777" w:rsidR="00864330" w:rsidRPr="00E23C99" w:rsidRDefault="0086433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694FF234" w14:textId="77777777" w:rsidR="00864330" w:rsidRPr="00E23C99" w:rsidRDefault="0086433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B0BA5E2" w14:textId="32246A59" w:rsidR="00864330" w:rsidRPr="00E23C99" w:rsidRDefault="00E23C99" w:rsidP="00E23C99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3C99"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64330" w:rsidRPr="00E23C99" w14:paraId="79CA7CE9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8E7A5A5" w14:textId="77777777" w:rsidR="00864330" w:rsidRPr="00E23C99" w:rsidRDefault="00864330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E23C9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E23C9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E23C9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E23C9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E23C9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864330" w:rsidRPr="00E23C99" w14:paraId="3835077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DFEDF13" w14:textId="77777777" w:rsidR="00E23C99" w:rsidRPr="00E23C99" w:rsidRDefault="00864330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23C9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</w:t>
            </w:r>
            <w:r w:rsidR="00E23C99" w:rsidRPr="00E23C9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  <w:r w:rsidRPr="00E23C9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</w:t>
            </w:r>
          </w:p>
          <w:p w14:paraId="6826EBE8" w14:textId="731F2C99" w:rsidR="00864330" w:rsidRPr="00E23C99" w:rsidRDefault="0086433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3C9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Územní správy sociálního zabezpečení pro hlavní město Prahu a Středočeský kraj</w:t>
            </w:r>
          </w:p>
        </w:tc>
      </w:tr>
      <w:tr w:rsidR="00864330" w:rsidRPr="00AE1B8B" w14:paraId="7D65421F" w14:textId="77777777" w:rsidTr="00E23C99">
        <w:trPr>
          <w:trHeight w:val="80"/>
          <w:jc w:val="right"/>
        </w:trPr>
        <w:tc>
          <w:tcPr>
            <w:tcW w:w="4583" w:type="dxa"/>
            <w:hideMark/>
          </w:tcPr>
          <w:p w14:paraId="656C0E16" w14:textId="77777777" w:rsidR="00864330" w:rsidRPr="00E23C99" w:rsidRDefault="0086433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3C9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30A6A130" w14:textId="77777777" w:rsidR="00864330" w:rsidRPr="00083F48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3828715" w14:textId="77777777" w:rsidR="00864330" w:rsidRPr="00083F48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84DF89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80595F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F159BE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D0CABC2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26143C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E304DC" w14:textId="77777777" w:rsidR="00864330" w:rsidRPr="00176C27" w:rsidRDefault="0086433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D3E3534" w14:textId="77777777" w:rsidR="00864330" w:rsidRPr="00176C27" w:rsidRDefault="0086433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68BD818" w14:textId="77777777" w:rsidR="00864330" w:rsidRDefault="008643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DEDE025" w14:textId="77777777" w:rsidR="00864330" w:rsidRDefault="008643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9BCB398" w14:textId="77777777" w:rsidR="00864330" w:rsidRDefault="008643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742CB59" w14:textId="77777777" w:rsidR="00864330" w:rsidRPr="002273E7" w:rsidRDefault="0086433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87FFC5C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0125E6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179F2D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426B25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155690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A6B046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C53EBB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04427C" w14:textId="77777777" w:rsidR="00864330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2774B84" w14:textId="5C844245" w:rsidR="00864330" w:rsidRPr="00083F48" w:rsidRDefault="0086433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AE6798">
        <w:rPr>
          <w:rFonts w:ascii="Tahoma" w:hAnsi="Tahoma" w:cs="Tahoma"/>
          <w:sz w:val="20"/>
          <w:szCs w:val="20"/>
          <w:lang w:val="cs-CZ"/>
        </w:rPr>
        <w:t>9. 9. 2025</w:t>
      </w:r>
    </w:p>
    <w:p w14:paraId="5598D0D5" w14:textId="29D8652E" w:rsidR="00864330" w:rsidRDefault="008643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64330" w:rsidSect="0086433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E6798">
        <w:rPr>
          <w:rFonts w:ascii="Tahoma" w:hAnsi="Tahoma" w:cs="Tahoma"/>
          <w:sz w:val="20"/>
          <w:szCs w:val="20"/>
          <w:lang w:val="cs-CZ"/>
        </w:rPr>
        <w:t>18. 9. 2025</w:t>
      </w:r>
    </w:p>
    <w:p w14:paraId="629058F6" w14:textId="77777777" w:rsidR="00864330" w:rsidRPr="00083F48" w:rsidRDefault="0086433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64330" w:rsidRPr="00083F48" w:rsidSect="0086433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B947C" w14:textId="77777777" w:rsidR="00103585" w:rsidRDefault="00103585" w:rsidP="00C87830">
      <w:pPr>
        <w:spacing w:after="0" w:line="240" w:lineRule="auto"/>
      </w:pPr>
      <w:r>
        <w:separator/>
      </w:r>
    </w:p>
  </w:endnote>
  <w:endnote w:type="continuationSeparator" w:id="0">
    <w:p w14:paraId="1D4F0AAC" w14:textId="77777777" w:rsidR="00103585" w:rsidRDefault="0010358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CF829" w14:textId="77777777" w:rsidR="00864330" w:rsidRDefault="0086433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A790DF7" w14:textId="77777777" w:rsidR="00864330" w:rsidRDefault="008643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CD46" w14:textId="77777777" w:rsidR="00864330" w:rsidRDefault="00864330">
    <w:pPr>
      <w:pStyle w:val="Zpat"/>
      <w:jc w:val="center"/>
    </w:pPr>
  </w:p>
  <w:p w14:paraId="6F60E58C" w14:textId="77777777" w:rsidR="00864330" w:rsidRDefault="008643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5CF1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198785F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B3BC6" w14:textId="77777777" w:rsidR="007919A6" w:rsidRDefault="007919A6">
    <w:pPr>
      <w:pStyle w:val="Zpat"/>
      <w:jc w:val="center"/>
    </w:pPr>
  </w:p>
  <w:p w14:paraId="42B10567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355F5" w14:textId="77777777" w:rsidR="00103585" w:rsidRDefault="00103585" w:rsidP="00C87830">
      <w:pPr>
        <w:spacing w:after="0" w:line="240" w:lineRule="auto"/>
      </w:pPr>
      <w:r>
        <w:separator/>
      </w:r>
    </w:p>
  </w:footnote>
  <w:footnote w:type="continuationSeparator" w:id="0">
    <w:p w14:paraId="2783D489" w14:textId="77777777" w:rsidR="00103585" w:rsidRDefault="00103585" w:rsidP="00C87830">
      <w:pPr>
        <w:spacing w:after="0" w:line="240" w:lineRule="auto"/>
      </w:pPr>
      <w:r>
        <w:continuationSeparator/>
      </w:r>
    </w:p>
  </w:footnote>
  <w:footnote w:id="1">
    <w:p w14:paraId="27AEE25B" w14:textId="77777777" w:rsidR="00864330" w:rsidRPr="00B53290" w:rsidRDefault="008643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B2E7AB9" w14:textId="77777777" w:rsidR="00864330" w:rsidRPr="00C80715" w:rsidRDefault="0086433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4126F7DA" w14:textId="77777777" w:rsidR="00864330" w:rsidRPr="00C80715" w:rsidRDefault="0086433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EFF4EB9" w14:textId="77777777" w:rsidR="00864330" w:rsidRPr="00B53290" w:rsidRDefault="0086433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37BD197" w14:textId="77777777" w:rsidR="00864330" w:rsidRPr="00BC46D8" w:rsidRDefault="0086433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0248B82" w14:textId="77777777" w:rsidR="00864330" w:rsidRPr="002273E7" w:rsidRDefault="0086433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508EB98" w14:textId="77777777" w:rsidR="00864330" w:rsidRPr="001862C1" w:rsidRDefault="0086433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242F951" w14:textId="77777777" w:rsidR="00864330" w:rsidRPr="0003051C" w:rsidRDefault="0086433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5852961">
    <w:abstractNumId w:val="2"/>
  </w:num>
  <w:num w:numId="2" w16cid:durableId="181239266">
    <w:abstractNumId w:val="5"/>
  </w:num>
  <w:num w:numId="3" w16cid:durableId="2046370895">
    <w:abstractNumId w:val="4"/>
  </w:num>
  <w:num w:numId="4" w16cid:durableId="1100373432">
    <w:abstractNumId w:val="1"/>
  </w:num>
  <w:num w:numId="5" w16cid:durableId="20559616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898586">
    <w:abstractNumId w:val="5"/>
  </w:num>
  <w:num w:numId="7" w16cid:durableId="1716351293">
    <w:abstractNumId w:val="4"/>
  </w:num>
  <w:num w:numId="8" w16cid:durableId="1901477365">
    <w:abstractNumId w:val="3"/>
  </w:num>
  <w:num w:numId="9" w16cid:durableId="2034920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03585"/>
    <w:rsid w:val="001109F5"/>
    <w:rsid w:val="00111CA8"/>
    <w:rsid w:val="001326D5"/>
    <w:rsid w:val="001345BC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86BCD"/>
    <w:rsid w:val="00395152"/>
    <w:rsid w:val="003B1E48"/>
    <w:rsid w:val="003D488F"/>
    <w:rsid w:val="003F27C8"/>
    <w:rsid w:val="003F6959"/>
    <w:rsid w:val="00402CB6"/>
    <w:rsid w:val="004326B9"/>
    <w:rsid w:val="004D2DB7"/>
    <w:rsid w:val="00516D2C"/>
    <w:rsid w:val="005274CB"/>
    <w:rsid w:val="00531273"/>
    <w:rsid w:val="005538AF"/>
    <w:rsid w:val="0056788F"/>
    <w:rsid w:val="00567D6D"/>
    <w:rsid w:val="00574A1D"/>
    <w:rsid w:val="005804C1"/>
    <w:rsid w:val="00584BCB"/>
    <w:rsid w:val="005A3BD8"/>
    <w:rsid w:val="005C07D7"/>
    <w:rsid w:val="00603DE7"/>
    <w:rsid w:val="0064273B"/>
    <w:rsid w:val="0064273C"/>
    <w:rsid w:val="006512E8"/>
    <w:rsid w:val="00661875"/>
    <w:rsid w:val="006A07D0"/>
    <w:rsid w:val="006D289A"/>
    <w:rsid w:val="007200D2"/>
    <w:rsid w:val="007502BF"/>
    <w:rsid w:val="0075110F"/>
    <w:rsid w:val="00753CE7"/>
    <w:rsid w:val="007919A6"/>
    <w:rsid w:val="007A0F69"/>
    <w:rsid w:val="007B7C8F"/>
    <w:rsid w:val="007F1393"/>
    <w:rsid w:val="007F38A2"/>
    <w:rsid w:val="00864330"/>
    <w:rsid w:val="00871BF3"/>
    <w:rsid w:val="0088756B"/>
    <w:rsid w:val="008B624B"/>
    <w:rsid w:val="00910EB7"/>
    <w:rsid w:val="00922924"/>
    <w:rsid w:val="00947022"/>
    <w:rsid w:val="009501C0"/>
    <w:rsid w:val="00993237"/>
    <w:rsid w:val="009B0EE7"/>
    <w:rsid w:val="009B667D"/>
    <w:rsid w:val="009E6D07"/>
    <w:rsid w:val="009F0755"/>
    <w:rsid w:val="009F7B36"/>
    <w:rsid w:val="00A05936"/>
    <w:rsid w:val="00A25DFB"/>
    <w:rsid w:val="00A50E4A"/>
    <w:rsid w:val="00A71BB6"/>
    <w:rsid w:val="00A738E0"/>
    <w:rsid w:val="00AC3EAB"/>
    <w:rsid w:val="00AD2656"/>
    <w:rsid w:val="00AE1B8B"/>
    <w:rsid w:val="00AE6798"/>
    <w:rsid w:val="00AF7AF7"/>
    <w:rsid w:val="00B204D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70BBF"/>
    <w:rsid w:val="00D92B5D"/>
    <w:rsid w:val="00DD3E80"/>
    <w:rsid w:val="00DE29EE"/>
    <w:rsid w:val="00DF14A6"/>
    <w:rsid w:val="00DF30C8"/>
    <w:rsid w:val="00E23C99"/>
    <w:rsid w:val="00E34EC9"/>
    <w:rsid w:val="00E37371"/>
    <w:rsid w:val="00E76588"/>
    <w:rsid w:val="00E80681"/>
    <w:rsid w:val="00E819D6"/>
    <w:rsid w:val="00E8775F"/>
    <w:rsid w:val="00E94ABB"/>
    <w:rsid w:val="00EA14B8"/>
    <w:rsid w:val="00EC6A4E"/>
    <w:rsid w:val="00EE2D28"/>
    <w:rsid w:val="00F35E9F"/>
    <w:rsid w:val="00F44D01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D8A5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1189</Words>
  <Characters>7016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28</cp:revision>
  <dcterms:created xsi:type="dcterms:W3CDTF">2025-09-09T06:32:00Z</dcterms:created>
  <dcterms:modified xsi:type="dcterms:W3CDTF">2025-09-09T11:47:00Z</dcterms:modified>
</cp:coreProperties>
</file>